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F0" w:rsidRDefault="000703F0" w:rsidP="00111649">
      <w:pPr>
        <w:jc w:val="center"/>
        <w:rPr>
          <w:b/>
          <w:bCs/>
          <w:noProof/>
          <w:lang w:eastAsia="en-US"/>
        </w:rPr>
      </w:pPr>
      <w:bookmarkStart w:id="0" w:name="_GoBack"/>
      <w:bookmarkEnd w:id="0"/>
      <w:r>
        <w:rPr>
          <w:b/>
          <w:bCs/>
          <w:noProof/>
          <w:lang w:eastAsia="en-US"/>
        </w:rPr>
        <w:t>A STATISTICAL REVIEW OF GAZOS CREEK MURRELET RADAR DATA</w:t>
      </w:r>
    </w:p>
    <w:p w:rsidR="000703F0" w:rsidRDefault="000703F0" w:rsidP="00111649">
      <w:pPr>
        <w:jc w:val="center"/>
        <w:rPr>
          <w:b/>
          <w:bCs/>
          <w:noProof/>
          <w:lang w:eastAsia="en-US"/>
        </w:rPr>
      </w:pPr>
    </w:p>
    <w:p w:rsidR="000703F0" w:rsidRDefault="000703F0" w:rsidP="00111649">
      <w:pPr>
        <w:jc w:val="center"/>
        <w:rPr>
          <w:b/>
          <w:bCs/>
          <w:noProof/>
          <w:lang w:eastAsia="en-US"/>
        </w:rPr>
      </w:pPr>
      <w:r>
        <w:rPr>
          <w:b/>
          <w:bCs/>
          <w:noProof/>
          <w:lang w:eastAsia="en-US"/>
        </w:rPr>
        <w:t>by</w:t>
      </w:r>
    </w:p>
    <w:p w:rsidR="000703F0" w:rsidRDefault="000703F0" w:rsidP="00111649">
      <w:pPr>
        <w:jc w:val="center"/>
        <w:rPr>
          <w:b/>
          <w:bCs/>
          <w:noProof/>
          <w:lang w:eastAsia="en-US"/>
        </w:rPr>
      </w:pPr>
      <w:r>
        <w:rPr>
          <w:b/>
          <w:bCs/>
          <w:noProof/>
          <w:lang w:eastAsia="en-US"/>
        </w:rPr>
        <w:t>Jake Verschuyl, Ph.D.</w:t>
      </w:r>
    </w:p>
    <w:p w:rsidR="000703F0" w:rsidRDefault="000703F0" w:rsidP="00111649">
      <w:pPr>
        <w:jc w:val="center"/>
        <w:rPr>
          <w:b/>
          <w:bCs/>
          <w:noProof/>
          <w:lang w:eastAsia="en-US"/>
        </w:rPr>
      </w:pPr>
      <w:r>
        <w:rPr>
          <w:b/>
          <w:bCs/>
          <w:noProof/>
          <w:lang w:eastAsia="en-US"/>
        </w:rPr>
        <w:t>Hamer Environmental, Inc.</w:t>
      </w:r>
    </w:p>
    <w:p w:rsidR="000703F0" w:rsidRDefault="000703F0" w:rsidP="00111649">
      <w:pPr>
        <w:jc w:val="center"/>
        <w:rPr>
          <w:b/>
          <w:bCs/>
          <w:noProof/>
          <w:lang w:eastAsia="en-US"/>
        </w:rPr>
      </w:pPr>
    </w:p>
    <w:p w:rsidR="000703F0" w:rsidRDefault="000703F0" w:rsidP="00111649">
      <w:pPr>
        <w:jc w:val="center"/>
        <w:rPr>
          <w:b/>
          <w:bCs/>
          <w:noProof/>
          <w:lang w:eastAsia="en-US"/>
        </w:rPr>
      </w:pPr>
      <w:r>
        <w:rPr>
          <w:b/>
          <w:bCs/>
          <w:noProof/>
          <w:lang w:eastAsia="en-US"/>
        </w:rPr>
        <w:t>December 2008</w:t>
      </w:r>
    </w:p>
    <w:p w:rsidR="000703F0" w:rsidRDefault="000703F0" w:rsidP="00111649">
      <w:pPr>
        <w:jc w:val="center"/>
        <w:rPr>
          <w:b/>
          <w:bCs/>
          <w:noProof/>
          <w:lang w:eastAsia="en-US"/>
        </w:rPr>
      </w:pPr>
    </w:p>
    <w:p w:rsidR="000703F0" w:rsidRDefault="000703F0" w:rsidP="00BB3CD8">
      <w:pPr>
        <w:rPr>
          <w:b/>
          <w:bCs/>
          <w:noProof/>
          <w:lang w:eastAsia="en-US"/>
        </w:rPr>
      </w:pPr>
    </w:p>
    <w:p w:rsidR="000703F0" w:rsidRPr="0043157A" w:rsidRDefault="000703F0" w:rsidP="00BB3CD8">
      <w:pPr>
        <w:rPr>
          <w:b/>
          <w:bCs/>
          <w:noProof/>
          <w:lang w:eastAsia="en-US"/>
        </w:rPr>
      </w:pPr>
      <w:r w:rsidRPr="0043157A">
        <w:rPr>
          <w:b/>
          <w:bCs/>
          <w:noProof/>
          <w:lang w:eastAsia="en-US"/>
        </w:rPr>
        <w:t>GAZO</w:t>
      </w:r>
      <w:r>
        <w:rPr>
          <w:b/>
          <w:bCs/>
          <w:noProof/>
          <w:lang w:eastAsia="en-US"/>
        </w:rPr>
        <w:t>S</w:t>
      </w:r>
      <w:r w:rsidRPr="0043157A">
        <w:rPr>
          <w:b/>
          <w:bCs/>
          <w:noProof/>
          <w:lang w:eastAsia="en-US"/>
        </w:rPr>
        <w:t xml:space="preserve"> POPULATION TREND REGRESSION </w:t>
      </w:r>
    </w:p>
    <w:p w:rsidR="000703F0" w:rsidRDefault="000703F0" w:rsidP="00BB3CD8">
      <w:pPr>
        <w:rPr>
          <w:noProof/>
          <w:lang w:eastAsia="en-US"/>
        </w:rPr>
      </w:pPr>
    </w:p>
    <w:p w:rsidR="000703F0" w:rsidRDefault="000703F0" w:rsidP="00BB3CD8">
      <w:pPr>
        <w:rPr>
          <w:noProof/>
          <w:lang w:eastAsia="en-US"/>
        </w:rPr>
      </w:pPr>
      <w:r>
        <w:rPr>
          <w:noProof/>
          <w:lang w:eastAsia="en-US"/>
        </w:rPr>
        <w:t>In an effort to detect the local population trend of marbled murrelets (</w:t>
      </w:r>
      <w:r w:rsidRPr="0087467A">
        <w:rPr>
          <w:i/>
          <w:iCs/>
        </w:rPr>
        <w:t>Brachyramphus marmoratus</w:t>
      </w:r>
      <w:r>
        <w:rPr>
          <w:noProof/>
          <w:lang w:eastAsia="en-US"/>
        </w:rPr>
        <w:t xml:space="preserve">) at the Gazos Creek site near Pescadero, CA a repeated measures regression was run on the six years of existing marine radar data.   The first analysis was conducted using repeated measures regression to investigate a potential trend in the total number of radar targets fitting the speed and size and time of day criteria for marbled murrelets over a 7 morning sampling period for 6 (not consecutive) years (Figure 1). </w:t>
      </w:r>
    </w:p>
    <w:p w:rsidR="000703F0" w:rsidRDefault="000703F0" w:rsidP="00BB3CD8">
      <w:pPr>
        <w:rPr>
          <w:noProof/>
          <w:lang w:eastAsia="en-US"/>
        </w:rPr>
      </w:pPr>
    </w:p>
    <w:p w:rsidR="000703F0" w:rsidRDefault="00572EED" w:rsidP="00577F55">
      <w:r>
        <w:rPr>
          <w:noProof/>
          <w:lang w:eastAsia="en-US"/>
        </w:rPr>
        <w:drawing>
          <wp:inline distT="0" distB="0" distL="0" distR="0">
            <wp:extent cx="4800600" cy="3752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3752850"/>
                    </a:xfrm>
                    <a:prstGeom prst="rect">
                      <a:avLst/>
                    </a:prstGeom>
                    <a:noFill/>
                    <a:ln>
                      <a:noFill/>
                    </a:ln>
                  </pic:spPr>
                </pic:pic>
              </a:graphicData>
            </a:graphic>
          </wp:inline>
        </w:drawing>
      </w:r>
    </w:p>
    <w:p w:rsidR="000703F0" w:rsidRDefault="000703F0" w:rsidP="00577F55">
      <w:r>
        <w:t xml:space="preserve">Figure 1. Regression results of the pre-dawn count of marbled murrelet targets by sampling year (P &gt; 0.05 for the regression across all years; P &lt; 0.01 for the 2000-2002 regression and the 2004-2008 regression). </w:t>
      </w:r>
    </w:p>
    <w:p w:rsidR="000703F0" w:rsidRDefault="000703F0" w:rsidP="00577F55"/>
    <w:p w:rsidR="000703F0" w:rsidRDefault="000703F0">
      <w:pPr>
        <w:rPr>
          <w:noProof/>
          <w:lang w:eastAsia="en-US"/>
        </w:rPr>
      </w:pPr>
      <w:r>
        <w:rPr>
          <w:noProof/>
          <w:lang w:eastAsia="en-US"/>
        </w:rPr>
        <w:t xml:space="preserve">The second analysis completed was a variation of the first, also using repeated measures regression to investigate a potential trend in the number of radar targets per survey morning, this time occurring before a cutoff time defined by the first documented Band-tailed pigeon flight (a </w:t>
      </w:r>
      <w:r>
        <w:rPr>
          <w:noProof/>
          <w:lang w:eastAsia="en-US"/>
        </w:rPr>
        <w:lastRenderedPageBreak/>
        <w:t xml:space="preserve">potentially similar radar target). This goal of the second analysis was to remove any potentially confounded targets that may have been mistakenly included by some of the radar technicians.  </w:t>
      </w:r>
    </w:p>
    <w:p w:rsidR="000703F0" w:rsidRDefault="00572EED">
      <w:r>
        <w:rPr>
          <w:noProof/>
          <w:lang w:eastAsia="en-US"/>
        </w:rPr>
        <w:drawing>
          <wp:inline distT="0" distB="0" distL="0" distR="0">
            <wp:extent cx="4848225" cy="3695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3695700"/>
                    </a:xfrm>
                    <a:prstGeom prst="rect">
                      <a:avLst/>
                    </a:prstGeom>
                    <a:noFill/>
                    <a:ln>
                      <a:noFill/>
                    </a:ln>
                  </pic:spPr>
                </pic:pic>
              </a:graphicData>
            </a:graphic>
          </wp:inline>
        </w:drawing>
      </w:r>
    </w:p>
    <w:p w:rsidR="000703F0" w:rsidRDefault="000703F0">
      <w:r>
        <w:t>Figure 2. Regression results of the pre-dawn count of targets recorded before the first Band-tailed pigeon was detected by sampling year (P &gt; 0.05 for the regression across all years; P &lt; 0.01 for the 2000-2002 regression and the 2004-2008 regression).</w:t>
      </w:r>
    </w:p>
    <w:p w:rsidR="000703F0" w:rsidRDefault="000703F0"/>
    <w:p w:rsidR="000703F0" w:rsidRDefault="000703F0">
      <w:r>
        <w:t xml:space="preserve">The significance of the trends was assessed using the P-value associated with the slope term from the repeated measures regression. While the trend was slightly negative over the 6 sampling years for both analyses, neither regression resulted in a significant slope for the number of targets detected by sampling year. However, significant negative slopes were detected in both data sets when looking only at years 2000-2002 or 2004-2008 (dashed gray lines in Figures 1 &amp; 2). There are many potential explanations for the upward shift between 2002-2004 (including changes in climate pattern, foraging resources, response to changes in local scavenger or predator populations, observer bias, etc.), but our data do not support further analysis of these factors. </w:t>
      </w:r>
    </w:p>
    <w:p w:rsidR="000703F0" w:rsidRDefault="000703F0"/>
    <w:p w:rsidR="000703F0" w:rsidRPr="0043157A" w:rsidRDefault="000703F0">
      <w:pPr>
        <w:rPr>
          <w:b/>
          <w:bCs/>
        </w:rPr>
      </w:pPr>
      <w:r w:rsidRPr="0043157A">
        <w:rPr>
          <w:b/>
          <w:bCs/>
        </w:rPr>
        <w:t>POWER ANALYSIS</w:t>
      </w:r>
    </w:p>
    <w:p w:rsidR="000703F0" w:rsidRDefault="000703F0"/>
    <w:p w:rsidR="000703F0" w:rsidRDefault="000703F0">
      <w:r>
        <w:t xml:space="preserve">A power analysis was conducted using the existing data to assess how many additional years of survey would be necessary to detect different magnitudes of population trends with a range of power (Table 1; alpha = 0.05).  The power analysis utilized the ratio of within (daily) to between year variance in the 6 existing years of data to determine how many additional years would be necessary (at two year spacing) to detect whether or not there is a certain trend in population.  </w:t>
      </w:r>
    </w:p>
    <w:p w:rsidR="000703F0" w:rsidRDefault="000703F0"/>
    <w:p w:rsidR="000703F0" w:rsidRDefault="000703F0" w:rsidP="003B5AB7"/>
    <w:p w:rsidR="000703F0" w:rsidRDefault="000703F0" w:rsidP="003B5AB7"/>
    <w:p w:rsidR="000703F0" w:rsidRDefault="000703F0" w:rsidP="003B5AB7">
      <w:r>
        <w:lastRenderedPageBreak/>
        <w:t xml:space="preserve"> </w:t>
      </w:r>
    </w:p>
    <w:p w:rsidR="000703F0" w:rsidRDefault="000703F0" w:rsidP="003B5AB7"/>
    <w:p w:rsidR="000703F0" w:rsidRDefault="000703F0" w:rsidP="003B5AB7">
      <w:r>
        <w:t>Table 1. Additional years of data collection necessary (beyond 2008) to detect different magnitudes of population trends with a range of power.</w:t>
      </w:r>
    </w:p>
    <w:tbl>
      <w:tblPr>
        <w:tblW w:w="8740" w:type="dxa"/>
        <w:tblInd w:w="-106" w:type="dxa"/>
        <w:tblLook w:val="00A0" w:firstRow="1" w:lastRow="0" w:firstColumn="1" w:lastColumn="0" w:noHBand="0" w:noVBand="0"/>
      </w:tblPr>
      <w:tblGrid>
        <w:gridCol w:w="1540"/>
        <w:gridCol w:w="2400"/>
        <w:gridCol w:w="960"/>
        <w:gridCol w:w="960"/>
        <w:gridCol w:w="960"/>
        <w:gridCol w:w="960"/>
        <w:gridCol w:w="960"/>
      </w:tblGrid>
      <w:tr w:rsidR="000703F0" w:rsidRPr="004010E9">
        <w:trPr>
          <w:trHeight w:val="315"/>
        </w:trPr>
        <w:tc>
          <w:tcPr>
            <w:tcW w:w="1540" w:type="dxa"/>
            <w:tcBorders>
              <w:top w:val="nil"/>
              <w:left w:val="nil"/>
              <w:bottom w:val="nil"/>
              <w:right w:val="nil"/>
            </w:tcBorders>
            <w:noWrap/>
            <w:vAlign w:val="bottom"/>
          </w:tcPr>
          <w:p w:rsidR="000703F0" w:rsidRPr="0043157A" w:rsidRDefault="000703F0" w:rsidP="0043157A">
            <w:pPr>
              <w:jc w:val="center"/>
              <w:rPr>
                <w:color w:val="000000"/>
                <w:lang w:eastAsia="en-US"/>
              </w:rPr>
            </w:pPr>
          </w:p>
        </w:tc>
        <w:tc>
          <w:tcPr>
            <w:tcW w:w="2400" w:type="dxa"/>
            <w:tcBorders>
              <w:top w:val="nil"/>
              <w:left w:val="nil"/>
              <w:bottom w:val="nil"/>
              <w:right w:val="nil"/>
            </w:tcBorders>
            <w:noWrap/>
            <w:vAlign w:val="bottom"/>
          </w:tcPr>
          <w:p w:rsidR="000703F0" w:rsidRPr="0043157A" w:rsidRDefault="000703F0" w:rsidP="0043157A">
            <w:pPr>
              <w:rPr>
                <w:color w:val="000000"/>
                <w:lang w:eastAsia="en-US"/>
              </w:rPr>
            </w:pPr>
          </w:p>
        </w:tc>
        <w:tc>
          <w:tcPr>
            <w:tcW w:w="4800" w:type="dxa"/>
            <w:gridSpan w:val="5"/>
            <w:tcBorders>
              <w:top w:val="nil"/>
              <w:left w:val="nil"/>
              <w:bottom w:val="single" w:sz="8" w:space="0" w:color="auto"/>
            </w:tcBorders>
            <w:noWrap/>
            <w:vAlign w:val="center"/>
          </w:tcPr>
          <w:p w:rsidR="000703F0" w:rsidRPr="0043157A" w:rsidRDefault="000703F0" w:rsidP="0043157A">
            <w:pPr>
              <w:jc w:val="center"/>
              <w:rPr>
                <w:b/>
                <w:bCs/>
                <w:color w:val="000000"/>
                <w:lang w:eastAsia="en-US"/>
              </w:rPr>
            </w:pPr>
            <w:r w:rsidRPr="0043157A">
              <w:rPr>
                <w:b/>
                <w:bCs/>
                <w:color w:val="000000"/>
                <w:sz w:val="22"/>
                <w:szCs w:val="22"/>
                <w:lang w:eastAsia="en-US"/>
              </w:rPr>
              <w:t>POWER</w:t>
            </w:r>
          </w:p>
        </w:tc>
      </w:tr>
      <w:tr w:rsidR="000703F0" w:rsidRPr="004010E9">
        <w:trPr>
          <w:trHeight w:val="600"/>
        </w:trPr>
        <w:tc>
          <w:tcPr>
            <w:tcW w:w="1540" w:type="dxa"/>
            <w:tcBorders>
              <w:top w:val="nil"/>
              <w:left w:val="nil"/>
              <w:bottom w:val="single" w:sz="12" w:space="0" w:color="auto"/>
              <w:right w:val="nil"/>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Data Used</w:t>
            </w:r>
          </w:p>
        </w:tc>
        <w:tc>
          <w:tcPr>
            <w:tcW w:w="2400" w:type="dxa"/>
            <w:tcBorders>
              <w:top w:val="nil"/>
              <w:left w:val="nil"/>
              <w:bottom w:val="single" w:sz="12" w:space="0" w:color="auto"/>
              <w:right w:val="nil"/>
            </w:tcBorders>
            <w:vAlign w:val="bottom"/>
          </w:tcPr>
          <w:p w:rsidR="000703F0" w:rsidRDefault="000703F0" w:rsidP="00312501">
            <w:pPr>
              <w:jc w:val="center"/>
              <w:rPr>
                <w:b/>
                <w:bCs/>
                <w:color w:val="000000"/>
                <w:lang w:eastAsia="en-US"/>
              </w:rPr>
            </w:pPr>
            <w:r w:rsidRPr="0043157A">
              <w:rPr>
                <w:b/>
                <w:bCs/>
                <w:color w:val="000000"/>
                <w:sz w:val="22"/>
                <w:szCs w:val="22"/>
                <w:lang w:eastAsia="en-US"/>
              </w:rPr>
              <w:t xml:space="preserve">Detectable </w:t>
            </w:r>
          </w:p>
          <w:p w:rsidR="000703F0" w:rsidRPr="0043157A" w:rsidRDefault="000703F0" w:rsidP="00312501">
            <w:pPr>
              <w:jc w:val="center"/>
              <w:rPr>
                <w:b/>
                <w:bCs/>
                <w:color w:val="000000"/>
                <w:lang w:eastAsia="en-US"/>
              </w:rPr>
            </w:pPr>
            <w:r w:rsidRPr="0043157A">
              <w:rPr>
                <w:b/>
                <w:bCs/>
                <w:color w:val="000000"/>
                <w:sz w:val="22"/>
                <w:szCs w:val="22"/>
                <w:lang w:eastAsia="en-US"/>
              </w:rPr>
              <w:t xml:space="preserve">Population Trend </w:t>
            </w:r>
          </w:p>
        </w:tc>
        <w:tc>
          <w:tcPr>
            <w:tcW w:w="960" w:type="dxa"/>
            <w:tcBorders>
              <w:top w:val="nil"/>
              <w:left w:val="single" w:sz="8" w:space="0" w:color="auto"/>
              <w:bottom w:val="single" w:sz="12" w:space="0" w:color="auto"/>
              <w:right w:val="single" w:sz="4" w:space="0" w:color="auto"/>
            </w:tcBorders>
            <w:noWrap/>
            <w:vAlign w:val="center"/>
          </w:tcPr>
          <w:p w:rsidR="000703F0" w:rsidRPr="0043157A" w:rsidRDefault="000703F0" w:rsidP="0043157A">
            <w:pPr>
              <w:jc w:val="center"/>
              <w:rPr>
                <w:b/>
                <w:bCs/>
                <w:color w:val="000000"/>
                <w:lang w:eastAsia="en-US"/>
              </w:rPr>
            </w:pPr>
            <w:r w:rsidRPr="0043157A">
              <w:rPr>
                <w:b/>
                <w:bCs/>
                <w:color w:val="000000"/>
                <w:sz w:val="22"/>
                <w:szCs w:val="22"/>
                <w:lang w:eastAsia="en-US"/>
              </w:rPr>
              <w:t>75</w:t>
            </w:r>
          </w:p>
        </w:tc>
        <w:tc>
          <w:tcPr>
            <w:tcW w:w="960" w:type="dxa"/>
            <w:tcBorders>
              <w:top w:val="nil"/>
              <w:left w:val="nil"/>
              <w:bottom w:val="single" w:sz="12" w:space="0" w:color="auto"/>
              <w:right w:val="single" w:sz="4" w:space="0" w:color="auto"/>
            </w:tcBorders>
            <w:noWrap/>
            <w:vAlign w:val="center"/>
          </w:tcPr>
          <w:p w:rsidR="000703F0" w:rsidRPr="0043157A" w:rsidRDefault="000703F0" w:rsidP="0043157A">
            <w:pPr>
              <w:jc w:val="center"/>
              <w:rPr>
                <w:b/>
                <w:bCs/>
                <w:color w:val="000000"/>
                <w:lang w:eastAsia="en-US"/>
              </w:rPr>
            </w:pPr>
            <w:r w:rsidRPr="0043157A">
              <w:rPr>
                <w:b/>
                <w:bCs/>
                <w:color w:val="000000"/>
                <w:sz w:val="22"/>
                <w:szCs w:val="22"/>
                <w:lang w:eastAsia="en-US"/>
              </w:rPr>
              <w:t>80</w:t>
            </w:r>
          </w:p>
        </w:tc>
        <w:tc>
          <w:tcPr>
            <w:tcW w:w="960" w:type="dxa"/>
            <w:tcBorders>
              <w:top w:val="nil"/>
              <w:left w:val="nil"/>
              <w:bottom w:val="single" w:sz="12" w:space="0" w:color="auto"/>
              <w:right w:val="single" w:sz="4" w:space="0" w:color="auto"/>
            </w:tcBorders>
            <w:noWrap/>
            <w:vAlign w:val="center"/>
          </w:tcPr>
          <w:p w:rsidR="000703F0" w:rsidRPr="0043157A" w:rsidRDefault="000703F0" w:rsidP="0043157A">
            <w:pPr>
              <w:jc w:val="center"/>
              <w:rPr>
                <w:b/>
                <w:bCs/>
                <w:color w:val="000000"/>
                <w:lang w:eastAsia="en-US"/>
              </w:rPr>
            </w:pPr>
            <w:r w:rsidRPr="0043157A">
              <w:rPr>
                <w:b/>
                <w:bCs/>
                <w:color w:val="000000"/>
                <w:sz w:val="22"/>
                <w:szCs w:val="22"/>
                <w:lang w:eastAsia="en-US"/>
              </w:rPr>
              <w:t>85</w:t>
            </w:r>
          </w:p>
        </w:tc>
        <w:tc>
          <w:tcPr>
            <w:tcW w:w="960" w:type="dxa"/>
            <w:tcBorders>
              <w:top w:val="nil"/>
              <w:left w:val="nil"/>
              <w:bottom w:val="single" w:sz="12" w:space="0" w:color="auto"/>
              <w:right w:val="single" w:sz="4" w:space="0" w:color="auto"/>
            </w:tcBorders>
            <w:noWrap/>
            <w:vAlign w:val="center"/>
          </w:tcPr>
          <w:p w:rsidR="000703F0" w:rsidRPr="0043157A" w:rsidRDefault="000703F0" w:rsidP="0043157A">
            <w:pPr>
              <w:jc w:val="center"/>
              <w:rPr>
                <w:b/>
                <w:bCs/>
                <w:color w:val="000000"/>
                <w:lang w:eastAsia="en-US"/>
              </w:rPr>
            </w:pPr>
            <w:r w:rsidRPr="0043157A">
              <w:rPr>
                <w:b/>
                <w:bCs/>
                <w:color w:val="000000"/>
                <w:sz w:val="22"/>
                <w:szCs w:val="22"/>
                <w:lang w:eastAsia="en-US"/>
              </w:rPr>
              <w:t>90</w:t>
            </w:r>
          </w:p>
        </w:tc>
        <w:tc>
          <w:tcPr>
            <w:tcW w:w="960" w:type="dxa"/>
            <w:tcBorders>
              <w:top w:val="nil"/>
              <w:left w:val="nil"/>
              <w:bottom w:val="single" w:sz="12" w:space="0" w:color="auto"/>
              <w:right w:val="single" w:sz="8" w:space="0" w:color="auto"/>
            </w:tcBorders>
            <w:noWrap/>
            <w:vAlign w:val="center"/>
          </w:tcPr>
          <w:p w:rsidR="000703F0" w:rsidRPr="0043157A" w:rsidRDefault="000703F0" w:rsidP="0043157A">
            <w:pPr>
              <w:jc w:val="center"/>
              <w:rPr>
                <w:b/>
                <w:bCs/>
                <w:color w:val="000000"/>
                <w:lang w:eastAsia="en-US"/>
              </w:rPr>
            </w:pPr>
            <w:r w:rsidRPr="0043157A">
              <w:rPr>
                <w:b/>
                <w:bCs/>
                <w:color w:val="000000"/>
                <w:sz w:val="22"/>
                <w:szCs w:val="22"/>
                <w:lang w:eastAsia="en-US"/>
              </w:rPr>
              <w:t>95</w:t>
            </w:r>
          </w:p>
        </w:tc>
      </w:tr>
      <w:tr w:rsidR="000703F0" w:rsidRPr="004010E9">
        <w:trPr>
          <w:trHeight w:val="300"/>
        </w:trPr>
        <w:tc>
          <w:tcPr>
            <w:tcW w:w="1540" w:type="dxa"/>
            <w:vMerge w:val="restart"/>
            <w:tcBorders>
              <w:top w:val="single" w:sz="12" w:space="0" w:color="auto"/>
              <w:left w:val="single" w:sz="12" w:space="0" w:color="auto"/>
              <w:bottom w:val="single" w:sz="8" w:space="0" w:color="000000"/>
              <w:right w:val="single" w:sz="4" w:space="0" w:color="auto"/>
            </w:tcBorders>
            <w:noWrap/>
            <w:vAlign w:val="center"/>
          </w:tcPr>
          <w:p w:rsidR="000703F0" w:rsidRPr="0043157A" w:rsidRDefault="000703F0" w:rsidP="0043157A">
            <w:pPr>
              <w:jc w:val="center"/>
              <w:rPr>
                <w:b/>
                <w:bCs/>
                <w:color w:val="000000"/>
                <w:lang w:eastAsia="en-US"/>
              </w:rPr>
            </w:pPr>
            <w:r w:rsidRPr="0043157A">
              <w:rPr>
                <w:b/>
                <w:bCs/>
                <w:color w:val="000000"/>
                <w:sz w:val="22"/>
                <w:szCs w:val="22"/>
                <w:lang w:eastAsia="en-US"/>
              </w:rPr>
              <w:t>All targets</w:t>
            </w:r>
          </w:p>
        </w:tc>
        <w:tc>
          <w:tcPr>
            <w:tcW w:w="2400" w:type="dxa"/>
            <w:tcBorders>
              <w:top w:val="single" w:sz="12" w:space="0" w:color="auto"/>
              <w:left w:val="nil"/>
              <w:bottom w:val="single" w:sz="4"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1%</w:t>
            </w:r>
          </w:p>
        </w:tc>
        <w:tc>
          <w:tcPr>
            <w:tcW w:w="960" w:type="dxa"/>
            <w:tcBorders>
              <w:top w:val="single" w:sz="12" w:space="0" w:color="auto"/>
              <w:left w:val="single" w:sz="12" w:space="0" w:color="auto"/>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30</w:t>
            </w:r>
          </w:p>
        </w:tc>
        <w:tc>
          <w:tcPr>
            <w:tcW w:w="960" w:type="dxa"/>
            <w:tcBorders>
              <w:top w:val="single" w:sz="12" w:space="0" w:color="auto"/>
              <w:left w:val="nil"/>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31</w:t>
            </w:r>
          </w:p>
        </w:tc>
        <w:tc>
          <w:tcPr>
            <w:tcW w:w="960" w:type="dxa"/>
            <w:tcBorders>
              <w:top w:val="single" w:sz="12" w:space="0" w:color="auto"/>
              <w:left w:val="nil"/>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33</w:t>
            </w:r>
          </w:p>
        </w:tc>
        <w:tc>
          <w:tcPr>
            <w:tcW w:w="960" w:type="dxa"/>
            <w:tcBorders>
              <w:top w:val="single" w:sz="12" w:space="0" w:color="auto"/>
              <w:left w:val="nil"/>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35</w:t>
            </w:r>
          </w:p>
        </w:tc>
        <w:tc>
          <w:tcPr>
            <w:tcW w:w="960" w:type="dxa"/>
            <w:tcBorders>
              <w:top w:val="single" w:sz="12" w:space="0" w:color="auto"/>
              <w:left w:val="nil"/>
              <w:bottom w:val="single" w:sz="4" w:space="0" w:color="auto"/>
              <w:right w:val="single" w:sz="12"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38</w:t>
            </w:r>
          </w:p>
        </w:tc>
      </w:tr>
      <w:tr w:rsidR="000703F0" w:rsidRPr="004010E9">
        <w:trPr>
          <w:trHeight w:val="300"/>
        </w:trPr>
        <w:tc>
          <w:tcPr>
            <w:tcW w:w="1540" w:type="dxa"/>
            <w:vMerge/>
            <w:tcBorders>
              <w:top w:val="single" w:sz="8" w:space="0" w:color="auto"/>
              <w:left w:val="single" w:sz="12" w:space="0" w:color="auto"/>
              <w:bottom w:val="single" w:sz="8" w:space="0" w:color="000000"/>
              <w:right w:val="single" w:sz="4" w:space="0" w:color="auto"/>
            </w:tcBorders>
            <w:vAlign w:val="center"/>
          </w:tcPr>
          <w:p w:rsidR="000703F0" w:rsidRPr="0043157A" w:rsidRDefault="000703F0" w:rsidP="0043157A">
            <w:pPr>
              <w:rPr>
                <w:b/>
                <w:bCs/>
                <w:color w:val="000000"/>
                <w:lang w:eastAsia="en-US"/>
              </w:rPr>
            </w:pPr>
          </w:p>
        </w:tc>
        <w:tc>
          <w:tcPr>
            <w:tcW w:w="2400" w:type="dxa"/>
            <w:tcBorders>
              <w:top w:val="nil"/>
              <w:left w:val="nil"/>
              <w:bottom w:val="single" w:sz="4"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5%</w:t>
            </w:r>
          </w:p>
        </w:tc>
        <w:tc>
          <w:tcPr>
            <w:tcW w:w="960" w:type="dxa"/>
            <w:tcBorders>
              <w:top w:val="nil"/>
              <w:left w:val="single" w:sz="12" w:space="0" w:color="auto"/>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9</w:t>
            </w:r>
          </w:p>
        </w:tc>
        <w:tc>
          <w:tcPr>
            <w:tcW w:w="960" w:type="dxa"/>
            <w:tcBorders>
              <w:top w:val="nil"/>
              <w:left w:val="nil"/>
              <w:bottom w:val="single" w:sz="4" w:space="0" w:color="auto"/>
              <w:right w:val="single" w:sz="12"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10</w:t>
            </w:r>
          </w:p>
        </w:tc>
      </w:tr>
      <w:tr w:rsidR="000703F0" w:rsidRPr="004010E9">
        <w:trPr>
          <w:trHeight w:val="300"/>
        </w:trPr>
        <w:tc>
          <w:tcPr>
            <w:tcW w:w="1540" w:type="dxa"/>
            <w:vMerge/>
            <w:tcBorders>
              <w:top w:val="single" w:sz="8" w:space="0" w:color="auto"/>
              <w:left w:val="single" w:sz="12" w:space="0" w:color="auto"/>
              <w:bottom w:val="single" w:sz="8" w:space="0" w:color="000000"/>
              <w:right w:val="single" w:sz="4" w:space="0" w:color="auto"/>
            </w:tcBorders>
            <w:vAlign w:val="center"/>
          </w:tcPr>
          <w:p w:rsidR="000703F0" w:rsidRPr="0043157A" w:rsidRDefault="000703F0" w:rsidP="0043157A">
            <w:pPr>
              <w:rPr>
                <w:b/>
                <w:bCs/>
                <w:color w:val="000000"/>
                <w:lang w:eastAsia="en-US"/>
              </w:rPr>
            </w:pPr>
          </w:p>
        </w:tc>
        <w:tc>
          <w:tcPr>
            <w:tcW w:w="2400" w:type="dxa"/>
            <w:tcBorders>
              <w:top w:val="nil"/>
              <w:left w:val="nil"/>
              <w:bottom w:val="single" w:sz="4"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10%</w:t>
            </w:r>
          </w:p>
        </w:tc>
        <w:tc>
          <w:tcPr>
            <w:tcW w:w="960" w:type="dxa"/>
            <w:tcBorders>
              <w:top w:val="nil"/>
              <w:left w:val="single" w:sz="12" w:space="0" w:color="auto"/>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4</w:t>
            </w:r>
          </w:p>
        </w:tc>
        <w:tc>
          <w:tcPr>
            <w:tcW w:w="960" w:type="dxa"/>
            <w:tcBorders>
              <w:top w:val="nil"/>
              <w:left w:val="nil"/>
              <w:bottom w:val="single" w:sz="4" w:space="0" w:color="auto"/>
              <w:right w:val="single" w:sz="12" w:space="0" w:color="auto"/>
            </w:tcBorders>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4</w:t>
            </w:r>
          </w:p>
        </w:tc>
      </w:tr>
      <w:tr w:rsidR="000703F0" w:rsidRPr="004010E9">
        <w:trPr>
          <w:trHeight w:val="315"/>
        </w:trPr>
        <w:tc>
          <w:tcPr>
            <w:tcW w:w="1540" w:type="dxa"/>
            <w:vMerge/>
            <w:tcBorders>
              <w:top w:val="single" w:sz="8" w:space="0" w:color="auto"/>
              <w:left w:val="single" w:sz="12" w:space="0" w:color="auto"/>
              <w:bottom w:val="single" w:sz="12" w:space="0" w:color="auto"/>
              <w:right w:val="single" w:sz="4" w:space="0" w:color="auto"/>
            </w:tcBorders>
            <w:vAlign w:val="center"/>
          </w:tcPr>
          <w:p w:rsidR="000703F0" w:rsidRPr="0043157A" w:rsidRDefault="000703F0" w:rsidP="0043157A">
            <w:pPr>
              <w:rPr>
                <w:b/>
                <w:bCs/>
                <w:color w:val="000000"/>
                <w:lang w:eastAsia="en-US"/>
              </w:rPr>
            </w:pPr>
          </w:p>
        </w:tc>
        <w:tc>
          <w:tcPr>
            <w:tcW w:w="2400" w:type="dxa"/>
            <w:tcBorders>
              <w:top w:val="nil"/>
              <w:left w:val="nil"/>
              <w:bottom w:val="single" w:sz="12"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20%</w:t>
            </w:r>
          </w:p>
        </w:tc>
        <w:tc>
          <w:tcPr>
            <w:tcW w:w="960" w:type="dxa"/>
            <w:tcBorders>
              <w:top w:val="single" w:sz="4" w:space="0" w:color="auto"/>
              <w:left w:val="single" w:sz="12" w:space="0" w:color="auto"/>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single" w:sz="4" w:space="0" w:color="auto"/>
              <w:left w:val="nil"/>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single" w:sz="4" w:space="0" w:color="auto"/>
              <w:left w:val="nil"/>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single" w:sz="4" w:space="0" w:color="auto"/>
              <w:left w:val="nil"/>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single" w:sz="4" w:space="0" w:color="auto"/>
              <w:left w:val="nil"/>
              <w:bottom w:val="single" w:sz="12" w:space="0" w:color="auto"/>
              <w:right w:val="single" w:sz="12"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1</w:t>
            </w:r>
          </w:p>
        </w:tc>
      </w:tr>
      <w:tr w:rsidR="000703F0" w:rsidRPr="004010E9">
        <w:trPr>
          <w:trHeight w:val="300"/>
        </w:trPr>
        <w:tc>
          <w:tcPr>
            <w:tcW w:w="1540" w:type="dxa"/>
            <w:vMerge w:val="restart"/>
            <w:tcBorders>
              <w:top w:val="single" w:sz="12" w:space="0" w:color="auto"/>
              <w:left w:val="single" w:sz="12" w:space="0" w:color="auto"/>
              <w:bottom w:val="single" w:sz="8" w:space="0" w:color="000000"/>
              <w:right w:val="single" w:sz="4" w:space="0" w:color="auto"/>
            </w:tcBorders>
            <w:vAlign w:val="center"/>
          </w:tcPr>
          <w:p w:rsidR="000703F0" w:rsidRPr="0043157A" w:rsidRDefault="000703F0" w:rsidP="0043157A">
            <w:pPr>
              <w:jc w:val="center"/>
              <w:rPr>
                <w:b/>
                <w:bCs/>
                <w:color w:val="000000"/>
                <w:lang w:eastAsia="en-US"/>
              </w:rPr>
            </w:pPr>
            <w:r w:rsidRPr="0043157A">
              <w:rPr>
                <w:b/>
                <w:bCs/>
                <w:color w:val="000000"/>
                <w:sz w:val="22"/>
                <w:szCs w:val="22"/>
                <w:lang w:eastAsia="en-US"/>
              </w:rPr>
              <w:t>Targets flying directly in or out (no arcing flights)</w:t>
            </w:r>
          </w:p>
        </w:tc>
        <w:tc>
          <w:tcPr>
            <w:tcW w:w="2400" w:type="dxa"/>
            <w:tcBorders>
              <w:top w:val="single" w:sz="12" w:space="0" w:color="auto"/>
              <w:left w:val="nil"/>
              <w:bottom w:val="single" w:sz="4"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1%</w:t>
            </w:r>
          </w:p>
        </w:tc>
        <w:tc>
          <w:tcPr>
            <w:tcW w:w="960" w:type="dxa"/>
            <w:tcBorders>
              <w:top w:val="single" w:sz="12" w:space="0" w:color="auto"/>
              <w:left w:val="single" w:sz="12" w:space="0" w:color="auto"/>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30</w:t>
            </w:r>
          </w:p>
        </w:tc>
        <w:tc>
          <w:tcPr>
            <w:tcW w:w="960" w:type="dxa"/>
            <w:tcBorders>
              <w:top w:val="single" w:sz="12" w:space="0" w:color="auto"/>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31</w:t>
            </w:r>
          </w:p>
        </w:tc>
        <w:tc>
          <w:tcPr>
            <w:tcW w:w="960" w:type="dxa"/>
            <w:tcBorders>
              <w:top w:val="single" w:sz="12" w:space="0" w:color="auto"/>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33</w:t>
            </w:r>
          </w:p>
        </w:tc>
        <w:tc>
          <w:tcPr>
            <w:tcW w:w="960" w:type="dxa"/>
            <w:tcBorders>
              <w:top w:val="single" w:sz="12" w:space="0" w:color="auto"/>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35</w:t>
            </w:r>
          </w:p>
        </w:tc>
        <w:tc>
          <w:tcPr>
            <w:tcW w:w="960" w:type="dxa"/>
            <w:tcBorders>
              <w:top w:val="single" w:sz="12" w:space="0" w:color="auto"/>
              <w:left w:val="nil"/>
              <w:bottom w:val="single" w:sz="4" w:space="0" w:color="auto"/>
              <w:right w:val="single" w:sz="12"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38</w:t>
            </w:r>
          </w:p>
        </w:tc>
      </w:tr>
      <w:tr w:rsidR="000703F0" w:rsidRPr="004010E9">
        <w:trPr>
          <w:trHeight w:val="300"/>
        </w:trPr>
        <w:tc>
          <w:tcPr>
            <w:tcW w:w="1540" w:type="dxa"/>
            <w:vMerge/>
            <w:tcBorders>
              <w:top w:val="nil"/>
              <w:left w:val="single" w:sz="12" w:space="0" w:color="auto"/>
              <w:bottom w:val="single" w:sz="8" w:space="0" w:color="000000"/>
              <w:right w:val="single" w:sz="4" w:space="0" w:color="auto"/>
            </w:tcBorders>
            <w:vAlign w:val="center"/>
          </w:tcPr>
          <w:p w:rsidR="000703F0" w:rsidRPr="0043157A" w:rsidRDefault="000703F0" w:rsidP="0043157A">
            <w:pPr>
              <w:rPr>
                <w:b/>
                <w:bCs/>
                <w:color w:val="000000"/>
                <w:lang w:eastAsia="en-US"/>
              </w:rPr>
            </w:pPr>
          </w:p>
        </w:tc>
        <w:tc>
          <w:tcPr>
            <w:tcW w:w="2400" w:type="dxa"/>
            <w:tcBorders>
              <w:top w:val="nil"/>
              <w:left w:val="nil"/>
              <w:bottom w:val="single" w:sz="4"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5%</w:t>
            </w:r>
          </w:p>
        </w:tc>
        <w:tc>
          <w:tcPr>
            <w:tcW w:w="960" w:type="dxa"/>
            <w:tcBorders>
              <w:top w:val="nil"/>
              <w:left w:val="single" w:sz="12" w:space="0" w:color="auto"/>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9</w:t>
            </w:r>
          </w:p>
        </w:tc>
        <w:tc>
          <w:tcPr>
            <w:tcW w:w="960" w:type="dxa"/>
            <w:tcBorders>
              <w:top w:val="nil"/>
              <w:left w:val="nil"/>
              <w:bottom w:val="single" w:sz="4" w:space="0" w:color="auto"/>
              <w:right w:val="single" w:sz="12"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10</w:t>
            </w:r>
          </w:p>
        </w:tc>
      </w:tr>
      <w:tr w:rsidR="000703F0" w:rsidRPr="004010E9">
        <w:trPr>
          <w:trHeight w:val="300"/>
        </w:trPr>
        <w:tc>
          <w:tcPr>
            <w:tcW w:w="1540" w:type="dxa"/>
            <w:vMerge/>
            <w:tcBorders>
              <w:top w:val="nil"/>
              <w:left w:val="single" w:sz="12" w:space="0" w:color="auto"/>
              <w:bottom w:val="single" w:sz="8" w:space="0" w:color="000000"/>
              <w:right w:val="single" w:sz="4" w:space="0" w:color="auto"/>
            </w:tcBorders>
            <w:vAlign w:val="center"/>
          </w:tcPr>
          <w:p w:rsidR="000703F0" w:rsidRPr="0043157A" w:rsidRDefault="000703F0" w:rsidP="0043157A">
            <w:pPr>
              <w:rPr>
                <w:b/>
                <w:bCs/>
                <w:color w:val="000000"/>
                <w:lang w:eastAsia="en-US"/>
              </w:rPr>
            </w:pPr>
          </w:p>
        </w:tc>
        <w:tc>
          <w:tcPr>
            <w:tcW w:w="2400" w:type="dxa"/>
            <w:tcBorders>
              <w:top w:val="nil"/>
              <w:left w:val="nil"/>
              <w:bottom w:val="single" w:sz="4"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10%</w:t>
            </w:r>
          </w:p>
        </w:tc>
        <w:tc>
          <w:tcPr>
            <w:tcW w:w="960" w:type="dxa"/>
            <w:tcBorders>
              <w:top w:val="nil"/>
              <w:left w:val="single" w:sz="12" w:space="0" w:color="auto"/>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4</w:t>
            </w:r>
          </w:p>
        </w:tc>
        <w:tc>
          <w:tcPr>
            <w:tcW w:w="960" w:type="dxa"/>
            <w:tcBorders>
              <w:top w:val="nil"/>
              <w:left w:val="nil"/>
              <w:bottom w:val="single" w:sz="4" w:space="0" w:color="auto"/>
              <w:right w:val="single" w:sz="12"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4</w:t>
            </w:r>
          </w:p>
        </w:tc>
      </w:tr>
      <w:tr w:rsidR="000703F0" w:rsidRPr="004010E9">
        <w:trPr>
          <w:trHeight w:val="315"/>
        </w:trPr>
        <w:tc>
          <w:tcPr>
            <w:tcW w:w="1540" w:type="dxa"/>
            <w:vMerge/>
            <w:tcBorders>
              <w:top w:val="nil"/>
              <w:left w:val="single" w:sz="12" w:space="0" w:color="auto"/>
              <w:bottom w:val="single" w:sz="12" w:space="0" w:color="auto"/>
              <w:right w:val="single" w:sz="4" w:space="0" w:color="auto"/>
            </w:tcBorders>
            <w:vAlign w:val="center"/>
          </w:tcPr>
          <w:p w:rsidR="000703F0" w:rsidRPr="0043157A" w:rsidRDefault="000703F0" w:rsidP="0043157A">
            <w:pPr>
              <w:rPr>
                <w:b/>
                <w:bCs/>
                <w:color w:val="000000"/>
                <w:lang w:eastAsia="en-US"/>
              </w:rPr>
            </w:pPr>
          </w:p>
        </w:tc>
        <w:tc>
          <w:tcPr>
            <w:tcW w:w="2400" w:type="dxa"/>
            <w:tcBorders>
              <w:top w:val="nil"/>
              <w:left w:val="nil"/>
              <w:bottom w:val="single" w:sz="12"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20%</w:t>
            </w:r>
          </w:p>
        </w:tc>
        <w:tc>
          <w:tcPr>
            <w:tcW w:w="960" w:type="dxa"/>
            <w:tcBorders>
              <w:top w:val="nil"/>
              <w:left w:val="single" w:sz="12" w:space="0" w:color="auto"/>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nil"/>
              <w:left w:val="nil"/>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nil"/>
              <w:left w:val="nil"/>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nil"/>
              <w:left w:val="nil"/>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nil"/>
              <w:left w:val="nil"/>
              <w:bottom w:val="single" w:sz="12" w:space="0" w:color="auto"/>
              <w:right w:val="single" w:sz="12"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1</w:t>
            </w:r>
          </w:p>
        </w:tc>
      </w:tr>
      <w:tr w:rsidR="000703F0" w:rsidRPr="004010E9">
        <w:trPr>
          <w:trHeight w:val="300"/>
        </w:trPr>
        <w:tc>
          <w:tcPr>
            <w:tcW w:w="1540" w:type="dxa"/>
            <w:vMerge w:val="restart"/>
            <w:tcBorders>
              <w:top w:val="single" w:sz="12" w:space="0" w:color="auto"/>
              <w:left w:val="single" w:sz="12" w:space="0" w:color="auto"/>
              <w:bottom w:val="single" w:sz="8" w:space="0" w:color="000000"/>
              <w:right w:val="single" w:sz="4" w:space="0" w:color="auto"/>
            </w:tcBorders>
            <w:vAlign w:val="center"/>
          </w:tcPr>
          <w:p w:rsidR="000703F0" w:rsidRPr="0043157A" w:rsidRDefault="000703F0" w:rsidP="0043157A">
            <w:pPr>
              <w:jc w:val="center"/>
              <w:rPr>
                <w:b/>
                <w:bCs/>
                <w:color w:val="000000"/>
                <w:lang w:eastAsia="en-US"/>
              </w:rPr>
            </w:pPr>
            <w:r w:rsidRPr="0043157A">
              <w:rPr>
                <w:b/>
                <w:bCs/>
                <w:color w:val="000000"/>
                <w:sz w:val="22"/>
                <w:szCs w:val="22"/>
                <w:lang w:eastAsia="en-US"/>
              </w:rPr>
              <w:t>All targets flying before 1st BTPI</w:t>
            </w:r>
          </w:p>
        </w:tc>
        <w:tc>
          <w:tcPr>
            <w:tcW w:w="2400" w:type="dxa"/>
            <w:tcBorders>
              <w:top w:val="single" w:sz="12" w:space="0" w:color="auto"/>
              <w:left w:val="nil"/>
              <w:bottom w:val="single" w:sz="4"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1%</w:t>
            </w:r>
          </w:p>
        </w:tc>
        <w:tc>
          <w:tcPr>
            <w:tcW w:w="960" w:type="dxa"/>
            <w:tcBorders>
              <w:top w:val="single" w:sz="12" w:space="0" w:color="auto"/>
              <w:left w:val="single" w:sz="12" w:space="0" w:color="auto"/>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33</w:t>
            </w:r>
          </w:p>
        </w:tc>
        <w:tc>
          <w:tcPr>
            <w:tcW w:w="960" w:type="dxa"/>
            <w:tcBorders>
              <w:top w:val="single" w:sz="12" w:space="0" w:color="auto"/>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35</w:t>
            </w:r>
          </w:p>
        </w:tc>
        <w:tc>
          <w:tcPr>
            <w:tcW w:w="960" w:type="dxa"/>
            <w:tcBorders>
              <w:top w:val="single" w:sz="12" w:space="0" w:color="auto"/>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36</w:t>
            </w:r>
          </w:p>
        </w:tc>
        <w:tc>
          <w:tcPr>
            <w:tcW w:w="960" w:type="dxa"/>
            <w:tcBorders>
              <w:top w:val="single" w:sz="12" w:space="0" w:color="auto"/>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39</w:t>
            </w:r>
          </w:p>
        </w:tc>
        <w:tc>
          <w:tcPr>
            <w:tcW w:w="960" w:type="dxa"/>
            <w:tcBorders>
              <w:top w:val="single" w:sz="12" w:space="0" w:color="auto"/>
              <w:left w:val="nil"/>
              <w:bottom w:val="single" w:sz="4" w:space="0" w:color="auto"/>
              <w:right w:val="single" w:sz="12"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42</w:t>
            </w:r>
          </w:p>
        </w:tc>
      </w:tr>
      <w:tr w:rsidR="000703F0" w:rsidRPr="004010E9">
        <w:trPr>
          <w:trHeight w:val="300"/>
        </w:trPr>
        <w:tc>
          <w:tcPr>
            <w:tcW w:w="1540" w:type="dxa"/>
            <w:vMerge/>
            <w:tcBorders>
              <w:top w:val="nil"/>
              <w:left w:val="single" w:sz="12" w:space="0" w:color="auto"/>
              <w:bottom w:val="single" w:sz="8" w:space="0" w:color="000000"/>
              <w:right w:val="single" w:sz="4" w:space="0" w:color="auto"/>
            </w:tcBorders>
            <w:vAlign w:val="center"/>
          </w:tcPr>
          <w:p w:rsidR="000703F0" w:rsidRPr="0043157A" w:rsidRDefault="000703F0" w:rsidP="0043157A">
            <w:pPr>
              <w:rPr>
                <w:b/>
                <w:bCs/>
                <w:color w:val="000000"/>
                <w:lang w:eastAsia="en-US"/>
              </w:rPr>
            </w:pPr>
          </w:p>
        </w:tc>
        <w:tc>
          <w:tcPr>
            <w:tcW w:w="2400" w:type="dxa"/>
            <w:tcBorders>
              <w:top w:val="nil"/>
              <w:left w:val="nil"/>
              <w:bottom w:val="single" w:sz="4"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5%</w:t>
            </w:r>
          </w:p>
        </w:tc>
        <w:tc>
          <w:tcPr>
            <w:tcW w:w="960" w:type="dxa"/>
            <w:tcBorders>
              <w:top w:val="nil"/>
              <w:left w:val="single" w:sz="12" w:space="0" w:color="auto"/>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9</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10</w:t>
            </w:r>
          </w:p>
        </w:tc>
        <w:tc>
          <w:tcPr>
            <w:tcW w:w="960" w:type="dxa"/>
            <w:tcBorders>
              <w:top w:val="nil"/>
              <w:left w:val="nil"/>
              <w:bottom w:val="single" w:sz="4" w:space="0" w:color="auto"/>
              <w:right w:val="single" w:sz="12"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11</w:t>
            </w:r>
          </w:p>
        </w:tc>
      </w:tr>
      <w:tr w:rsidR="000703F0" w:rsidRPr="004010E9">
        <w:trPr>
          <w:trHeight w:val="300"/>
        </w:trPr>
        <w:tc>
          <w:tcPr>
            <w:tcW w:w="1540" w:type="dxa"/>
            <w:vMerge/>
            <w:tcBorders>
              <w:top w:val="nil"/>
              <w:left w:val="single" w:sz="12" w:space="0" w:color="auto"/>
              <w:bottom w:val="single" w:sz="8" w:space="0" w:color="000000"/>
              <w:right w:val="single" w:sz="4" w:space="0" w:color="auto"/>
            </w:tcBorders>
            <w:vAlign w:val="center"/>
          </w:tcPr>
          <w:p w:rsidR="000703F0" w:rsidRPr="0043157A" w:rsidRDefault="000703F0" w:rsidP="0043157A">
            <w:pPr>
              <w:rPr>
                <w:b/>
                <w:bCs/>
                <w:color w:val="000000"/>
                <w:lang w:eastAsia="en-US"/>
              </w:rPr>
            </w:pPr>
          </w:p>
        </w:tc>
        <w:tc>
          <w:tcPr>
            <w:tcW w:w="2400" w:type="dxa"/>
            <w:tcBorders>
              <w:top w:val="nil"/>
              <w:left w:val="nil"/>
              <w:bottom w:val="single" w:sz="4"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10%</w:t>
            </w:r>
          </w:p>
        </w:tc>
        <w:tc>
          <w:tcPr>
            <w:tcW w:w="960" w:type="dxa"/>
            <w:tcBorders>
              <w:top w:val="nil"/>
              <w:left w:val="single" w:sz="12" w:space="0" w:color="auto"/>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4</w:t>
            </w:r>
          </w:p>
        </w:tc>
        <w:tc>
          <w:tcPr>
            <w:tcW w:w="960" w:type="dxa"/>
            <w:tcBorders>
              <w:top w:val="nil"/>
              <w:left w:val="nil"/>
              <w:bottom w:val="single" w:sz="4" w:space="0" w:color="auto"/>
              <w:right w:val="single" w:sz="12"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5</w:t>
            </w:r>
          </w:p>
        </w:tc>
      </w:tr>
      <w:tr w:rsidR="000703F0" w:rsidRPr="004010E9">
        <w:trPr>
          <w:trHeight w:val="315"/>
        </w:trPr>
        <w:tc>
          <w:tcPr>
            <w:tcW w:w="1540" w:type="dxa"/>
            <w:vMerge/>
            <w:tcBorders>
              <w:top w:val="nil"/>
              <w:left w:val="single" w:sz="12" w:space="0" w:color="auto"/>
              <w:bottom w:val="single" w:sz="12" w:space="0" w:color="auto"/>
              <w:right w:val="single" w:sz="4" w:space="0" w:color="auto"/>
            </w:tcBorders>
            <w:vAlign w:val="center"/>
          </w:tcPr>
          <w:p w:rsidR="000703F0" w:rsidRPr="0043157A" w:rsidRDefault="000703F0" w:rsidP="0043157A">
            <w:pPr>
              <w:rPr>
                <w:b/>
                <w:bCs/>
                <w:color w:val="000000"/>
                <w:lang w:eastAsia="en-US"/>
              </w:rPr>
            </w:pPr>
          </w:p>
        </w:tc>
        <w:tc>
          <w:tcPr>
            <w:tcW w:w="2400" w:type="dxa"/>
            <w:tcBorders>
              <w:top w:val="nil"/>
              <w:left w:val="nil"/>
              <w:bottom w:val="single" w:sz="12" w:space="0" w:color="auto"/>
              <w:right w:val="single" w:sz="12" w:space="0" w:color="auto"/>
            </w:tcBorders>
            <w:noWrap/>
            <w:vAlign w:val="bottom"/>
          </w:tcPr>
          <w:p w:rsidR="000703F0" w:rsidRPr="0043157A" w:rsidRDefault="000703F0" w:rsidP="0043157A">
            <w:pPr>
              <w:jc w:val="center"/>
              <w:rPr>
                <w:b/>
                <w:bCs/>
                <w:color w:val="000000"/>
                <w:lang w:eastAsia="en-US"/>
              </w:rPr>
            </w:pPr>
            <w:r w:rsidRPr="0043157A">
              <w:rPr>
                <w:b/>
                <w:bCs/>
                <w:color w:val="000000"/>
                <w:sz w:val="22"/>
                <w:szCs w:val="22"/>
                <w:lang w:eastAsia="en-US"/>
              </w:rPr>
              <w:t>20%</w:t>
            </w:r>
          </w:p>
        </w:tc>
        <w:tc>
          <w:tcPr>
            <w:tcW w:w="960" w:type="dxa"/>
            <w:tcBorders>
              <w:top w:val="nil"/>
              <w:left w:val="single" w:sz="12" w:space="0" w:color="auto"/>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nil"/>
              <w:left w:val="nil"/>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0</w:t>
            </w:r>
          </w:p>
        </w:tc>
        <w:tc>
          <w:tcPr>
            <w:tcW w:w="960" w:type="dxa"/>
            <w:tcBorders>
              <w:top w:val="nil"/>
              <w:left w:val="nil"/>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1</w:t>
            </w:r>
          </w:p>
        </w:tc>
        <w:tc>
          <w:tcPr>
            <w:tcW w:w="960" w:type="dxa"/>
            <w:tcBorders>
              <w:top w:val="nil"/>
              <w:left w:val="nil"/>
              <w:bottom w:val="single" w:sz="12" w:space="0" w:color="auto"/>
              <w:right w:val="single" w:sz="4"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1</w:t>
            </w:r>
          </w:p>
        </w:tc>
        <w:tc>
          <w:tcPr>
            <w:tcW w:w="960" w:type="dxa"/>
            <w:tcBorders>
              <w:top w:val="nil"/>
              <w:left w:val="nil"/>
              <w:bottom w:val="single" w:sz="12" w:space="0" w:color="auto"/>
              <w:right w:val="single" w:sz="12" w:space="0" w:color="auto"/>
            </w:tcBorders>
            <w:shd w:val="clear" w:color="auto" w:fill="FFFFFF"/>
            <w:noWrap/>
            <w:vAlign w:val="bottom"/>
          </w:tcPr>
          <w:p w:rsidR="000703F0" w:rsidRPr="004010E9" w:rsidRDefault="000703F0" w:rsidP="0043157A">
            <w:pPr>
              <w:jc w:val="center"/>
              <w:rPr>
                <w:rFonts w:ascii="Calibri" w:hAnsi="Calibri" w:cs="Calibri"/>
                <w:color w:val="000000"/>
              </w:rPr>
            </w:pPr>
            <w:r w:rsidRPr="004010E9">
              <w:rPr>
                <w:rFonts w:ascii="Calibri" w:hAnsi="Calibri" w:cs="Calibri"/>
                <w:color w:val="000000"/>
                <w:sz w:val="22"/>
                <w:szCs w:val="22"/>
              </w:rPr>
              <w:t>1</w:t>
            </w:r>
          </w:p>
        </w:tc>
      </w:tr>
    </w:tbl>
    <w:p w:rsidR="000703F0" w:rsidRDefault="000703F0"/>
    <w:p w:rsidR="000703F0" w:rsidRDefault="000703F0">
      <w:r>
        <w:t xml:space="preserve">Based on the power analysis and regression results, it seems wise to continue sampling for 2 additional years to determine whether or not there is a 10 % annual population decline (with 75% power).   This would entail sampling efforts in 2010 and 2012.  In addition, the additional sampling will allow us to assess whether the 2004-2008 trend continues or the population counts continue to gyrate back and forth.  </w:t>
      </w:r>
    </w:p>
    <w:sectPr w:rsidR="000703F0" w:rsidSect="00BB3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8"/>
    <w:rsid w:val="00065EC6"/>
    <w:rsid w:val="00067EB9"/>
    <w:rsid w:val="000703F0"/>
    <w:rsid w:val="000D685E"/>
    <w:rsid w:val="00111649"/>
    <w:rsid w:val="00131DB2"/>
    <w:rsid w:val="002044E1"/>
    <w:rsid w:val="00231472"/>
    <w:rsid w:val="00241747"/>
    <w:rsid w:val="002504CA"/>
    <w:rsid w:val="002F010F"/>
    <w:rsid w:val="00312501"/>
    <w:rsid w:val="003B5AB7"/>
    <w:rsid w:val="003C5F17"/>
    <w:rsid w:val="004010E9"/>
    <w:rsid w:val="0043157A"/>
    <w:rsid w:val="00431C3E"/>
    <w:rsid w:val="004B74CA"/>
    <w:rsid w:val="00504232"/>
    <w:rsid w:val="00553ED3"/>
    <w:rsid w:val="00572EED"/>
    <w:rsid w:val="00574FE9"/>
    <w:rsid w:val="00577F55"/>
    <w:rsid w:val="005C53A3"/>
    <w:rsid w:val="00637129"/>
    <w:rsid w:val="00664D11"/>
    <w:rsid w:val="00736D92"/>
    <w:rsid w:val="00742136"/>
    <w:rsid w:val="00745BB1"/>
    <w:rsid w:val="0075570F"/>
    <w:rsid w:val="0083198A"/>
    <w:rsid w:val="00833E19"/>
    <w:rsid w:val="0087467A"/>
    <w:rsid w:val="008A158F"/>
    <w:rsid w:val="008F7E7A"/>
    <w:rsid w:val="00A33847"/>
    <w:rsid w:val="00B870E2"/>
    <w:rsid w:val="00BB3CD8"/>
    <w:rsid w:val="00C22F66"/>
    <w:rsid w:val="00C60477"/>
    <w:rsid w:val="00D21780"/>
    <w:rsid w:val="00F64F29"/>
    <w:rsid w:val="00F7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4761242C-EDD1-46D6-B3B4-35906D8C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B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3C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3CD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21151">
      <w:marLeft w:val="0"/>
      <w:marRight w:val="0"/>
      <w:marTop w:val="0"/>
      <w:marBottom w:val="0"/>
      <w:divBdr>
        <w:top w:val="none" w:sz="0" w:space="0" w:color="auto"/>
        <w:left w:val="none" w:sz="0" w:space="0" w:color="auto"/>
        <w:bottom w:val="none" w:sz="0" w:space="0" w:color="auto"/>
        <w:right w:val="none" w:sz="0" w:space="0" w:color="auto"/>
      </w:divBdr>
    </w:div>
    <w:div w:id="1299921152">
      <w:marLeft w:val="0"/>
      <w:marRight w:val="0"/>
      <w:marTop w:val="0"/>
      <w:marBottom w:val="0"/>
      <w:divBdr>
        <w:top w:val="none" w:sz="0" w:space="0" w:color="auto"/>
        <w:left w:val="none" w:sz="0" w:space="0" w:color="auto"/>
        <w:bottom w:val="none" w:sz="0" w:space="0" w:color="auto"/>
        <w:right w:val="none" w:sz="0" w:space="0" w:color="auto"/>
      </w:divBdr>
    </w:div>
    <w:div w:id="1299921153">
      <w:marLeft w:val="0"/>
      <w:marRight w:val="0"/>
      <w:marTop w:val="0"/>
      <w:marBottom w:val="0"/>
      <w:divBdr>
        <w:top w:val="none" w:sz="0" w:space="0" w:color="auto"/>
        <w:left w:val="none" w:sz="0" w:space="0" w:color="auto"/>
        <w:bottom w:val="none" w:sz="0" w:space="0" w:color="auto"/>
        <w:right w:val="none" w:sz="0" w:space="0" w:color="auto"/>
      </w:divBdr>
    </w:div>
    <w:div w:id="1299921154">
      <w:marLeft w:val="0"/>
      <w:marRight w:val="0"/>
      <w:marTop w:val="0"/>
      <w:marBottom w:val="0"/>
      <w:divBdr>
        <w:top w:val="none" w:sz="0" w:space="0" w:color="auto"/>
        <w:left w:val="none" w:sz="0" w:space="0" w:color="auto"/>
        <w:bottom w:val="none" w:sz="0" w:space="0" w:color="auto"/>
        <w:right w:val="none" w:sz="0" w:space="0" w:color="auto"/>
      </w:divBdr>
    </w:div>
    <w:div w:id="1299921155">
      <w:marLeft w:val="0"/>
      <w:marRight w:val="0"/>
      <w:marTop w:val="0"/>
      <w:marBottom w:val="0"/>
      <w:divBdr>
        <w:top w:val="none" w:sz="0" w:space="0" w:color="auto"/>
        <w:left w:val="none" w:sz="0" w:space="0" w:color="auto"/>
        <w:bottom w:val="none" w:sz="0" w:space="0" w:color="auto"/>
        <w:right w:val="none" w:sz="0" w:space="0" w:color="auto"/>
      </w:divBdr>
    </w:div>
    <w:div w:id="1299921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GAZO POPULATION TREND REGRESSION</vt:lpstr>
    </vt:vector>
  </TitlesOfParts>
  <Company>Hewlett-Packard</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GAZO POPULATION TREND REGRESSION</dc:title>
  <dc:subject/>
  <dc:creator>jverschuyl</dc:creator>
  <cp:keywords/>
  <dc:description/>
  <cp:lastModifiedBy>Halbert, Portia@Parks</cp:lastModifiedBy>
  <cp:revision>2</cp:revision>
  <cp:lastPrinted>2008-12-11T05:58:00Z</cp:lastPrinted>
  <dcterms:created xsi:type="dcterms:W3CDTF">2018-12-05T22:19:00Z</dcterms:created>
  <dcterms:modified xsi:type="dcterms:W3CDTF">2018-12-05T22:19:00Z</dcterms:modified>
</cp:coreProperties>
</file>